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5" w:rsidRPr="00970408" w:rsidRDefault="00295C6A" w:rsidP="002A5D48">
      <w:pPr>
        <w:jc w:val="center"/>
        <w:rPr>
          <w:rFonts w:ascii="Times New Roman" w:hAnsi="Times New Roman" w:cs="Times New Roman"/>
          <w:b/>
          <w:i/>
          <w:sz w:val="24"/>
          <w:lang w:val="lt-LT"/>
        </w:rPr>
      </w:pPr>
      <w:r w:rsidRPr="000E5C77">
        <w:rPr>
          <w:rFonts w:ascii="Times New Roman" w:hAnsi="Times New Roman" w:cs="Times New Roman"/>
          <w:b/>
          <w:sz w:val="24"/>
          <w:lang w:val="lt-LT"/>
        </w:rPr>
        <w:t>33.</w:t>
      </w:r>
      <w:r>
        <w:rPr>
          <w:rFonts w:ascii="Times New Roman" w:hAnsi="Times New Roman" w:cs="Times New Roman"/>
          <w:b/>
          <w:i/>
          <w:sz w:val="24"/>
          <w:lang w:val="lt-LT"/>
        </w:rPr>
        <w:t xml:space="preserve"> </w:t>
      </w:r>
      <w:r w:rsidR="002A5D48" w:rsidRPr="00970408">
        <w:rPr>
          <w:rFonts w:ascii="Times New Roman" w:hAnsi="Times New Roman" w:cs="Times New Roman"/>
          <w:b/>
          <w:i/>
          <w:sz w:val="24"/>
          <w:lang w:val="lt-LT"/>
        </w:rPr>
        <w:t xml:space="preserve">DNR siūlo išskyrimas iš </w:t>
      </w:r>
      <w:r w:rsidR="00385D16" w:rsidRPr="00970408">
        <w:rPr>
          <w:rFonts w:ascii="Times New Roman" w:hAnsi="Times New Roman" w:cs="Times New Roman"/>
          <w:b/>
          <w:i/>
          <w:sz w:val="24"/>
          <w:lang w:val="lt-LT"/>
        </w:rPr>
        <w:t>vaisių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7684"/>
      </w:tblGrid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Klasė, dalykas</w:t>
            </w:r>
          </w:p>
        </w:tc>
        <w:tc>
          <w:tcPr>
            <w:tcW w:w="7684" w:type="dxa"/>
          </w:tcPr>
          <w:p w:rsidR="002A5D48" w:rsidRPr="00970408" w:rsidRDefault="00724E56" w:rsidP="00502B31">
            <w:pPr>
              <w:pStyle w:val="prastasis1"/>
              <w:ind w:right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5–6 klasės, gamta ir žmogus; </w:t>
            </w:r>
            <w:r w:rsidR="002A5D48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7–8 klasės, biologija.</w:t>
            </w: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Numatoma veiklos trukmė</w:t>
            </w:r>
          </w:p>
        </w:tc>
        <w:tc>
          <w:tcPr>
            <w:tcW w:w="7684" w:type="dxa"/>
          </w:tcPr>
          <w:p w:rsidR="002A5D48" w:rsidRPr="0097040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724E56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0 min.</w:t>
            </w: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Ugdomi mokinių gebėjimai pagal </w:t>
            </w:r>
            <w:r w:rsidRPr="00970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Pagrindinio ugdymo bendrąsias programas. </w:t>
            </w:r>
            <w:r w:rsidR="00BC29A9" w:rsidRPr="00970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Gamta ir žmogus. </w:t>
            </w:r>
            <w:r w:rsidRPr="009704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Biologija</w:t>
            </w:r>
          </w:p>
        </w:tc>
        <w:tc>
          <w:tcPr>
            <w:tcW w:w="7684" w:type="dxa"/>
          </w:tcPr>
          <w:p w:rsidR="00BC29A9" w:rsidRPr="00970408" w:rsidRDefault="00BC29A9" w:rsidP="00BC29A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Gamta ir žmogus:</w:t>
            </w:r>
          </w:p>
          <w:p w:rsidR="00BC29A9" w:rsidRPr="00970408" w:rsidRDefault="00BC29A9" w:rsidP="00BC2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 Paaiškinti, kad organizmai daugindamiesi perduoda savo požymius palikuonims.</w:t>
            </w:r>
          </w:p>
          <w:p w:rsidR="00BC29A9" w:rsidRPr="00970408" w:rsidRDefault="00BC29A9" w:rsidP="00BC29A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Biologija:</w:t>
            </w:r>
          </w:p>
          <w:p w:rsidR="002A5D48" w:rsidRPr="00970408" w:rsidRDefault="00BC29A9" w:rsidP="00BC2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 Apibūdinti pagrindinius augalo ir gyvūno ląstelių sandaros panašumus ir skirtumus, susiejant su ląstelių veikla. Paaiškinti ląstelių, audinių ir organų sandaros bei funkcijų ryšius.</w:t>
            </w:r>
          </w:p>
          <w:p w:rsidR="00BC29A9" w:rsidRPr="00970408" w:rsidRDefault="00BC29A9" w:rsidP="00BC2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 Paaiškinti, kaip, dauginantis organizmams, jų požymiai perduodami palikuonims.</w:t>
            </w: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pasiekimai pagal </w:t>
            </w:r>
            <w:r w:rsidRPr="00970408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Integruoto gamtos mokslų kurso programą 5–8 klasėms</w:t>
            </w:r>
          </w:p>
        </w:tc>
        <w:tc>
          <w:tcPr>
            <w:tcW w:w="7684" w:type="dxa"/>
          </w:tcPr>
          <w:p w:rsidR="00711DFE" w:rsidRPr="00970408" w:rsidRDefault="00711DFE" w:rsidP="00711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8.8.2.4. </w:t>
            </w:r>
            <w:r w:rsidR="00BC29A9"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&lt;…&gt;</w:t>
            </w: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remdamiesi chromosomos, geno, recesyvinio ir dominuojančiojo požymių sąvokomis, paaiškina paveldimumo mechanizmą, o asmens savitumą – kaip unikalų įvairių bruožų derinį </w:t>
            </w:r>
            <w:r w:rsidR="00BC29A9"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&lt;…&gt;</w:t>
            </w: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2A5D48" w:rsidRPr="00970408" w:rsidRDefault="002A5D48" w:rsidP="002A5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04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Probleminė situacija ir veiklos klausimas</w:t>
            </w:r>
          </w:p>
        </w:tc>
        <w:tc>
          <w:tcPr>
            <w:tcW w:w="7684" w:type="dxa"/>
          </w:tcPr>
          <w:p w:rsidR="002D49DD" w:rsidRPr="00F47BCD" w:rsidRDefault="002D49DD" w:rsidP="002D4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Tyrinėdami audinius pro mikroskopą </w:t>
            </w:r>
            <w:r w:rsidR="00E912FE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matome ląsteles ir jų</w:t>
            </w: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sudedamąsias dalis. Labai svarbi </w:t>
            </w:r>
            <w:r w:rsidR="00E912FE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ląstelių </w:t>
            </w: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dalis yra branduolys. </w:t>
            </w:r>
            <w:r w:rsidR="00E912FE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Branduolyje </w:t>
            </w: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saugoma paveldimoji informacija</w:t>
            </w:r>
            <w:r w:rsidR="001A77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užkoduota </w:t>
            </w:r>
            <w:r w:rsidR="00F85488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siūlą panašiose moleku</w:t>
            </w:r>
            <w:r w:rsidR="001A77E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 w:rsidR="00F85488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ėse. </w:t>
            </w:r>
            <w:r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 DNR</w:t>
            </w:r>
            <w:r w:rsidR="00635CFF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molekulės, kurių </w:t>
            </w:r>
            <w:r w:rsidR="00F85488" w:rsidRPr="00F47BC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negalime pamatyti pro mokyklinį mikroskopą.</w:t>
            </w:r>
          </w:p>
          <w:p w:rsidR="00BC55AA" w:rsidRDefault="00635C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Ar galima iš ląstelių išskirti </w:t>
            </w:r>
            <w:r w:rsidR="00E912FE"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DNR ir t</w:t>
            </w:r>
            <w:r w:rsidR="001A77EC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aip</w:t>
            </w:r>
            <w:r w:rsidR="00E912FE"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jas pamatyti</w:t>
            </w:r>
            <w:r w:rsidR="00F85488"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net plika akimi</w:t>
            </w:r>
            <w:r w:rsidR="00E912FE"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?</w:t>
            </w:r>
            <w:r w:rsidR="002D49DD" w:rsidRPr="00F47BCD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</w:t>
            </w:r>
            <w:r w:rsidR="00CB450C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7684" w:type="dxa"/>
            <w:shd w:val="clear" w:color="auto" w:fill="auto"/>
          </w:tcPr>
          <w:p w:rsidR="002A5D48" w:rsidRPr="0097040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Pademonstruoti, </w:t>
            </w:r>
            <w:r w:rsidR="00CB450C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 </w:t>
            </w:r>
            <w:r w:rsidR="00A901C4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vaisiai, kaip ir kitos augalo dalys</w:t>
            </w:r>
            <w:r w:rsidR="00CB450C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01C4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yra sudaryti iš gyvų ląstelių, kurių branduoliuose yra </w:t>
            </w: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siūlo pavidalo DNR molekul</w:t>
            </w:r>
            <w:r w:rsidR="00A901C4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2A5D48" w:rsidRPr="00970408" w:rsidTr="002A5D48">
        <w:tc>
          <w:tcPr>
            <w:tcW w:w="2268" w:type="dxa"/>
          </w:tcPr>
          <w:p w:rsidR="002A5D48" w:rsidRPr="0097040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684" w:type="dxa"/>
          </w:tcPr>
          <w:p w:rsidR="002A5D48" w:rsidRPr="0097040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Stiklinis mėgintuvėlis*</w:t>
            </w:r>
            <w:r w:rsidR="00D42C5A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, mėgintuvėlių stovelis*</w:t>
            </w: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, izopropanolis*, valgomoji druska, indų ploviklis ar skystas muilas, Pastero pipetės*, stiklinė lazdelė arba mediniai pagaliukai, sietelis arba medvilninis tvarstis (košimui), cheminės stiklinės*, svarstyklės*, grūstuvėlis su trintuve (arba cheminė stiklinė su lazdele), metileno mėlis* (ar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maistiniai dažai), šaldyti </w:t>
            </w:r>
            <w:r w:rsidR="00FD1CDA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>ar švieži vaisiai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, sėklos</w:t>
            </w:r>
            <w:r w:rsidR="00FD1CDA" w:rsidRPr="00970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(kiviai, braškės, bananai, ananasai, žirniai, kt.).</w:t>
            </w:r>
          </w:p>
        </w:tc>
      </w:tr>
      <w:tr w:rsidR="002A5D48" w:rsidTr="002A5D48">
        <w:trPr>
          <w:trHeight w:val="1511"/>
        </w:trPr>
        <w:tc>
          <w:tcPr>
            <w:tcW w:w="2268" w:type="dxa"/>
          </w:tcPr>
          <w:p w:rsidR="002A5D48" w:rsidRPr="001C0A4E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4E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A5D48" w:rsidRPr="001C0A4E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D48" w:rsidRPr="001C0A4E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2A5D48" w:rsidRPr="00F02591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25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</w:t>
            </w:r>
          </w:p>
          <w:p w:rsidR="002A5D48" w:rsidRPr="004A07F2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2A5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rdymo tirpalo paruošimas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61287" w:rsidRPr="0039722E">
              <w:rPr>
                <w:rFonts w:ascii="Times New Roman" w:eastAsia="Times New Roman" w:hAnsi="Times New Roman" w:cs="Times New Roman"/>
                <w:sz w:val="24"/>
                <w:szCs w:val="24"/>
              </w:rPr>
              <w:t>Norint paruošti</w:t>
            </w:r>
            <w:r w:rsidR="001A77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>100 ml ardymo tirpalo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reikia sumaišyti 3 g NaCl (valgomosios druskos) ir 10 ml skysto muilo ar indų ploviklio. Mišinį praskiesti vandeniu iki 100 ml, maišyti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 ištirpsta druska, 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ant, kad mišinys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>suputo</w:t>
            </w:r>
            <w:r w:rsidR="001A77EC">
              <w:rPr>
                <w:rFonts w:ascii="Times New Roman" w:eastAsia="Times New Roman" w:hAnsi="Times New Roman" w:cs="Times New Roman"/>
                <w:sz w:val="24"/>
                <w:szCs w:val="24"/>
              </w:rPr>
              <w:t>tų.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Paruoštas tirpalas gali būti laikomas kelis mėnesius</w:t>
            </w:r>
            <w:r w:rsidR="00B722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prieš naudojimą patikrinti, ar tirpalas </w:t>
            </w:r>
            <w:r w:rsidR="00B722DC">
              <w:rPr>
                <w:rFonts w:ascii="Times New Roman" w:eastAsia="Times New Roman" w:hAnsi="Times New Roman" w:cs="Times New Roman"/>
                <w:sz w:val="24"/>
                <w:szCs w:val="24"/>
              </w:rPr>
              <w:t>tebėra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skaidrus. Jei tirpalas yra bespalvis, galima jį nudažyti pridedant kelis lašus maistinių dažų arba metileno mėlio. </w:t>
            </w:r>
            <w:r w:rsidR="00B722DC">
              <w:rPr>
                <w:rFonts w:ascii="Times New Roman" w:eastAsia="Times New Roman" w:hAnsi="Times New Roman" w:cs="Times New Roman"/>
                <w:sz w:val="24"/>
                <w:szCs w:val="24"/>
              </w:rPr>
              <w:t>Nors t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irpalo spalva neturi jokios įtakos tyrimo rezultatams, tačiau mokiniams lengviau stebėti skirtingų 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spalvų 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tirpalų 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paviršių 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>sąly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>tį.</w:t>
            </w:r>
            <w:r w:rsidR="00FD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A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Vienai grupei (20 g vaisių) reikės 40 ml tirpalo.</w:t>
            </w:r>
          </w:p>
          <w:p w:rsidR="00FD1CDA" w:rsidRPr="004A07F2" w:rsidRDefault="00FD1CD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Šalto izopropanolio tirpalo paruošimas.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Tyrimui reikalingas šaltas (</w:t>
            </w:r>
            <w:r w:rsidR="00D4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°C) 70 proc. izopropanolis. Tirpalas paruošiamas sumaišant izopropanolį su vandeniu santykiu </w:t>
            </w:r>
            <w:r w:rsidR="00D42C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E11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4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ir mišinį palaikant šaldymo kameroje bent valandą iki tyrimo. Tirpalas šaltai arba kambario temperatūroje 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 būti </w:t>
            </w:r>
            <w:r w:rsidR="00D4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neribotą laiką. </w:t>
            </w:r>
            <w:r w:rsidR="004A0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Vienai grupei (1 mėgintuvėliui) reikės </w:t>
            </w:r>
            <w:r w:rsidR="00F106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4A0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ml tirpalo. </w:t>
            </w:r>
          </w:p>
          <w:p w:rsidR="002A5D48" w:rsidRDefault="002A5D48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0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</w:p>
          <w:p w:rsidR="00D42C5A" w:rsidRPr="00D42C5A" w:rsidRDefault="00D42C5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gali dirbti grupėmis, kiekvienai duodant išskirti DNR iš </w:t>
            </w:r>
            <w:r w:rsidR="009E0300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vaisių.</w:t>
            </w:r>
          </w:p>
          <w:p w:rsidR="00D42C5A" w:rsidRDefault="00D42C5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Pasveriama 10</w:t>
            </w:r>
            <w:r w:rsidR="00A9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pasirinktų vaisių. </w:t>
            </w:r>
          </w:p>
          <w:p w:rsidR="00D42C5A" w:rsidRDefault="00D42C5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Vaisiai perkeliami į trynimo indą (trintuvę ar stiklinę), užpilami dvigubu tūriu </w:t>
            </w:r>
            <w:r w:rsidR="00A9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 ml)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ardymo tirpalo, t.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kiekvienam gramui vaisių reikia 2 ml ardymo tirpalo. Mišinys gerai sutrinamas iki vienalytės masės. </w:t>
            </w:r>
          </w:p>
          <w:p w:rsidR="00D42C5A" w:rsidRDefault="00D42C5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Susmulkintas mišinys perkošiamas per kelis kartus perlenktą tvarstį. Galima mišinį filtruoti per filtrinį popierių, bet tai užtruks 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gerokai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iau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Tolesniam tyrimui bus naudojamas tik skaidrus skystis (filtratas). </w:t>
            </w:r>
          </w:p>
          <w:p w:rsidR="00D42C5A" w:rsidRDefault="00D42C5A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Į stiklinį mėgintuvėlį 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atsargiai, kad nesuputotų,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įpilama (arba 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įlašinama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Pastero pipete) </w:t>
            </w:r>
            <w:r w:rsidR="004171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171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ml filtrato. Mėgintuvėlis </w:t>
            </w:r>
            <w:r w:rsidR="004A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pažymimas ir įtvirtinamas vertikaliai stovelyje. </w:t>
            </w:r>
          </w:p>
          <w:p w:rsidR="004A07F2" w:rsidRDefault="004A07F2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Į paruoštą mėgintuvėlį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atsargiai ir lėtai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pipete į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lašinama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0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ml </w:t>
            </w:r>
            <w:r w:rsidRPr="00397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šalto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izopropanolio tirpalo. Tirpalai turi nesusimaišyti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mažesnio tankio, bespalvis izopropanolio tirpalas turi išlikti virš vaisių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ardymo tirpalo mišinio. </w:t>
            </w:r>
          </w:p>
          <w:p w:rsidR="004A07F2" w:rsidRDefault="004A07F2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Po 1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minučių, k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mėgintuvėliai stovėjo nejudinami, tirpalų sąlyčio riboje atsiranda balkšv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siūlo arba debesėlio pavidalo </w:t>
            </w:r>
            <w:r w:rsidR="00A901C4">
              <w:rPr>
                <w:rFonts w:ascii="Times New Roman" w:eastAsia="Times New Roman" w:hAnsi="Times New Roman" w:cs="Times New Roman"/>
                <w:sz w:val="24"/>
                <w:szCs w:val="24"/>
              </w:rPr>
              <w:t>drumzl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genominė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DNR, aplipusi baltymais ir kitomis priemaišomis (1 pav.). </w:t>
            </w:r>
          </w:p>
          <w:p w:rsidR="0041712F" w:rsidRDefault="0041712F" w:rsidP="00502B31">
            <w:pPr>
              <w:pStyle w:val="prastasis1"/>
              <w:jc w:val="both"/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945961" cy="1261939"/>
                  <wp:effectExtent l="0" t="0" r="6985" b="0"/>
                  <wp:docPr id="1" name="Paveikslėlis 1" descr="Vaizdo rezultatas pagal uÅ¾klausÄ âDNA from fruits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izdo rezultatas pagal uÅ¾klausÄ âDNA from fruitsâ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10" cy="128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683349" cy="1255191"/>
                  <wp:effectExtent l="0" t="0" r="2540" b="2540"/>
                  <wp:docPr id="2" name="Paveikslėlis 2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29" cy="129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lt-LT"/>
              </w:rPr>
              <w:drawing>
                <wp:inline distT="0" distB="0" distL="0" distR="0">
                  <wp:extent cx="944768" cy="1260216"/>
                  <wp:effectExtent l="0" t="0" r="8255" b="0"/>
                  <wp:docPr id="4" name="Paveikslėlis 4" descr="SusijÄs vaiz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sijÄs vaiz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683" cy="12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12F" w:rsidRPr="0039722E" w:rsidRDefault="0041712F" w:rsidP="00502B31">
            <w:pPr>
              <w:pStyle w:val="prastasis1"/>
              <w:jc w:val="both"/>
              <w:rPr>
                <w:rFonts w:ascii="Times New Roman" w:eastAsia="Times New Roman" w:hAnsi="Times New Roman" w:cs="Times New Roman"/>
              </w:rPr>
            </w:pPr>
            <w:r w:rsidRPr="0039722E">
              <w:rPr>
                <w:rFonts w:ascii="Times New Roman" w:eastAsia="Times New Roman" w:hAnsi="Times New Roman" w:cs="Times New Roman"/>
              </w:rPr>
              <w:t xml:space="preserve">1 pav. </w:t>
            </w:r>
            <w:r w:rsidR="00F1069D" w:rsidRPr="0039722E">
              <w:rPr>
                <w:rFonts w:ascii="Times New Roman" w:eastAsia="Times New Roman" w:hAnsi="Times New Roman" w:cs="Times New Roman"/>
                <w:b/>
              </w:rPr>
              <w:t xml:space="preserve">Tirpalų sąlytyje susidariusios DNR nuosėdos. </w:t>
            </w:r>
            <w:r w:rsidR="00F1069D" w:rsidRPr="0039722E">
              <w:rPr>
                <w:rFonts w:ascii="Times New Roman" w:eastAsia="Times New Roman" w:hAnsi="Times New Roman" w:cs="Times New Roman"/>
              </w:rPr>
              <w:t xml:space="preserve">Šaltiniai: </w:t>
            </w:r>
            <w:hyperlink r:id="rId8" w:history="1">
              <w:r w:rsidR="00F1069D" w:rsidRPr="0039722E">
                <w:rPr>
                  <w:rStyle w:val="Hipersaitas"/>
                  <w:rFonts w:ascii="Times New Roman" w:eastAsia="Times New Roman" w:hAnsi="Times New Roman" w:cs="Times New Roman"/>
                </w:rPr>
                <w:t>http://www.funsci.com/fun3_en/dna/dnaen.htm</w:t>
              </w:r>
            </w:hyperlink>
            <w:r w:rsidR="00F1069D" w:rsidRPr="0039722E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9" w:history="1">
              <w:r w:rsidR="00F1069D" w:rsidRPr="0039722E">
                <w:rPr>
                  <w:rStyle w:val="Hipersaitas"/>
                  <w:rFonts w:ascii="Times New Roman" w:eastAsia="Times New Roman" w:hAnsi="Times New Roman" w:cs="Times New Roman"/>
                </w:rPr>
                <w:t>https://www.tubefr.com/extraire-l-adn-a-partir-de-fraises.html</w:t>
              </w:r>
            </w:hyperlink>
            <w:r w:rsidR="00F1069D" w:rsidRPr="003972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A5D48" w:rsidRDefault="004A07F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Stikline lazdele ar mediniu pagaliuku sukamuoju judesiu galima šį DNR siūlą ištraukti ir vizualiai įvertinti išsiskyrusios DNR kiekį. </w:t>
            </w:r>
            <w:r w:rsidR="00D77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Dirbant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r w:rsidR="00D779A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palyginamas DNR kiekis, išsiskyręs iš 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r w:rsidR="00D77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vaisių.</w:t>
            </w:r>
            <w:r w:rsidR="00A90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7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D48" w:rsidTr="002A5D48">
        <w:tc>
          <w:tcPr>
            <w:tcW w:w="2268" w:type="dxa"/>
          </w:tcPr>
          <w:p w:rsidR="002A5D48" w:rsidRPr="00E3006F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E3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rezultatas</w:t>
            </w:r>
            <w:proofErr w:type="spellEnd"/>
          </w:p>
        </w:tc>
        <w:tc>
          <w:tcPr>
            <w:tcW w:w="7684" w:type="dxa"/>
          </w:tcPr>
          <w:p w:rsidR="002A5D48" w:rsidRPr="009D2F70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pasiekimų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5D48" w:rsidRPr="00CB450C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padedami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atlieka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>
              <w:rPr>
                <w:rFonts w:ascii="Times New Roman" w:hAnsi="Times New Roman" w:cs="Times New Roman"/>
                <w:sz w:val="24"/>
                <w:szCs w:val="24"/>
              </w:rPr>
              <w:t>tyrimą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Bendrais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bruožais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apibūdina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E56" w:rsidRDefault="00724E56" w:rsidP="00724E5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D48" w:rsidRPr="009D2F70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  <w:proofErr w:type="spellEnd"/>
          </w:p>
          <w:p w:rsidR="00724E56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Savarankiškai</w:t>
            </w:r>
            <w:proofErr w:type="spellEnd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sz w:val="24"/>
                <w:szCs w:val="24"/>
              </w:rPr>
              <w:t>atlieka</w:t>
            </w:r>
            <w:proofErr w:type="spellEnd"/>
            <w:r w:rsid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>
              <w:rPr>
                <w:rFonts w:ascii="Times New Roman" w:hAnsi="Times New Roman" w:cs="Times New Roman"/>
                <w:sz w:val="24"/>
                <w:szCs w:val="24"/>
              </w:rPr>
              <w:t>tyrimą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Analizuoja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padaro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išvadą</w:t>
            </w:r>
            <w:proofErr w:type="spellEnd"/>
            <w:r w:rsidR="00CB450C" w:rsidRPr="00CB4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F6" w:rsidRPr="001F2FF6" w:rsidRDefault="001F2FF6" w:rsidP="00724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48" w:rsidRPr="009D2F70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Trečiasis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pasiekimų</w:t>
            </w:r>
            <w:proofErr w:type="spellEnd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2F70">
              <w:rPr>
                <w:rFonts w:ascii="Times New Roman" w:hAnsi="Times New Roman" w:cs="Times New Roman"/>
                <w:i/>
                <w:sz w:val="24"/>
                <w:szCs w:val="24"/>
              </w:rPr>
              <w:t>lyg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muo</w:t>
            </w:r>
            <w:proofErr w:type="spellEnd"/>
          </w:p>
          <w:p w:rsidR="002A5D48" w:rsidRPr="00724E56" w:rsidRDefault="002A5D48" w:rsidP="00724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organizuojant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darbą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palygina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duomenis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juos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E56">
              <w:rPr>
                <w:rFonts w:ascii="Times New Roman" w:hAnsi="Times New Roman" w:cs="Times New Roman"/>
                <w:sz w:val="24"/>
                <w:szCs w:val="24"/>
              </w:rPr>
              <w:t>analizuoja</w:t>
            </w:r>
            <w:proofErr w:type="spellEnd"/>
            <w:r w:rsidR="00724E5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apibendrina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padaro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išvadą</w:t>
            </w:r>
            <w:proofErr w:type="spellEnd"/>
            <w:r w:rsidRPr="00724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D48" w:rsidTr="002A5D48">
        <w:tc>
          <w:tcPr>
            <w:tcW w:w="2268" w:type="dxa"/>
          </w:tcPr>
          <w:p w:rsidR="002A5D48" w:rsidRPr="001C0A4E" w:rsidRDefault="002A5D48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7684" w:type="dxa"/>
          </w:tcPr>
          <w:p w:rsidR="00385D16" w:rsidRDefault="00385D16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Rizika nušalti rankas liečiant atšaldytą izopropanolio tirpalą. </w:t>
            </w:r>
          </w:p>
          <w:p w:rsidR="002A5D48" w:rsidRDefault="00385D16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Grynas izopropanolis yra degus. </w:t>
            </w:r>
            <w:r w:rsidR="002A5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D16" w:rsidRDefault="00385D16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Trinant vaisius cheminėse stiklinėse yra rizika jas </w:t>
            </w:r>
            <w:r w:rsidR="00760197">
              <w:rPr>
                <w:rFonts w:ascii="Times New Roman" w:eastAsia="Times New Roman" w:hAnsi="Times New Roman" w:cs="Times New Roman"/>
                <w:sz w:val="24"/>
                <w:szCs w:val="24"/>
              </w:rPr>
              <w:t>įskelti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sudaužyti.</w:t>
            </w:r>
          </w:p>
        </w:tc>
      </w:tr>
      <w:tr w:rsidR="002A5D48" w:rsidTr="002A5D48">
        <w:tc>
          <w:tcPr>
            <w:tcW w:w="2268" w:type="dxa"/>
          </w:tcPr>
          <w:p w:rsidR="002A5D48" w:rsidRPr="00E3006F" w:rsidRDefault="002A5D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ryšiai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4" w:type="dxa"/>
          </w:tcPr>
          <w:p w:rsidR="002A5D48" w:rsidRDefault="002A5D48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Matematika: </w:t>
            </w:r>
            <w:r w:rsidR="00385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proporcijų skaičiavimas. </w:t>
            </w:r>
          </w:p>
          <w:p w:rsidR="002A5D48" w:rsidRDefault="00CB450C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Chemija: medžiagų tirpumas, koncentracijų skaičiavimas, tirpalų ruošimas. </w:t>
            </w:r>
          </w:p>
        </w:tc>
      </w:tr>
      <w:tr w:rsidR="002A5D48" w:rsidTr="002A5D48">
        <w:tc>
          <w:tcPr>
            <w:tcW w:w="2268" w:type="dxa"/>
          </w:tcPr>
          <w:p w:rsidR="002A5D48" w:rsidRPr="00E3006F" w:rsidRDefault="002A5D48" w:rsidP="00CB4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Idėjos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plėtoti</w:t>
            </w:r>
            <w:proofErr w:type="spellEnd"/>
          </w:p>
        </w:tc>
        <w:tc>
          <w:tcPr>
            <w:tcW w:w="7684" w:type="dxa"/>
          </w:tcPr>
          <w:p w:rsidR="00385D16" w:rsidRDefault="002A5D48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B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Ištirti, ar </w:t>
            </w:r>
            <w:r w:rsidR="00CB450C" w:rsidRPr="00CB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galima DNR išskirti iš </w:t>
            </w:r>
            <w:r w:rsidR="00510D8F">
              <w:rPr>
                <w:rFonts w:ascii="Times New Roman" w:eastAsia="Times New Roman" w:hAnsi="Times New Roman" w:cs="Times New Roman"/>
                <w:sz w:val="24"/>
                <w:szCs w:val="24"/>
              </w:rPr>
              <w:t>įvairiai</w:t>
            </w:r>
            <w:r w:rsidR="00CB450C" w:rsidRPr="00CB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apdorotų (šaldytų, virtų, džiovintų) vaisių</w:t>
            </w:r>
            <w:r w:rsidR="00CB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nustatyti, ar taip apdorojant vaisius išlieka DNR. </w:t>
            </w:r>
          </w:p>
          <w:p w:rsidR="00CB450C" w:rsidRPr="00CB450C" w:rsidRDefault="00CB450C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Ištirti, ar šis metodas yra tinkamas DNR išskyrimui iš gyvūnų ląstelių, pvz., raumens (mėsos) ar burnos epitelio. </w:t>
            </w:r>
          </w:p>
        </w:tc>
      </w:tr>
      <w:tr w:rsidR="00EC0832" w:rsidTr="002A5D48">
        <w:tc>
          <w:tcPr>
            <w:tcW w:w="2268" w:type="dxa"/>
          </w:tcPr>
          <w:p w:rsidR="00EC0832" w:rsidRDefault="00EC0832" w:rsidP="00CB45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Vaizdo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įrašas</w:t>
            </w:r>
            <w:proofErr w:type="spellEnd"/>
          </w:p>
        </w:tc>
        <w:tc>
          <w:tcPr>
            <w:tcW w:w="7684" w:type="dxa"/>
          </w:tcPr>
          <w:p w:rsidR="00EC0832" w:rsidRDefault="00EC0832" w:rsidP="00CB450C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D48" w:rsidTr="002A5D48">
        <w:tc>
          <w:tcPr>
            <w:tcW w:w="2268" w:type="dxa"/>
          </w:tcPr>
          <w:p w:rsidR="002A5D48" w:rsidRPr="001C0A4E" w:rsidRDefault="002A5D48" w:rsidP="001961FA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6F"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684" w:type="dxa"/>
          </w:tcPr>
          <w:p w:rsidR="002A5D48" w:rsidRPr="00CB450C" w:rsidRDefault="00385D16" w:rsidP="001961FA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DNR siūlo išskyrimas iš vaisių</w:t>
            </w:r>
          </w:p>
        </w:tc>
      </w:tr>
    </w:tbl>
    <w:p w:rsidR="002A5D48" w:rsidRDefault="002A5D48"/>
    <w:p w:rsidR="001241B4" w:rsidRDefault="001241B4"/>
    <w:sectPr w:rsidR="001241B4" w:rsidSect="003C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2A5D48"/>
    <w:rsid w:val="00010B0A"/>
    <w:rsid w:val="000574E7"/>
    <w:rsid w:val="000E5C77"/>
    <w:rsid w:val="001241B4"/>
    <w:rsid w:val="00166ACF"/>
    <w:rsid w:val="001961FA"/>
    <w:rsid w:val="001A77EC"/>
    <w:rsid w:val="001B5902"/>
    <w:rsid w:val="001F2FF6"/>
    <w:rsid w:val="0028446A"/>
    <w:rsid w:val="00295C6A"/>
    <w:rsid w:val="002A5D48"/>
    <w:rsid w:val="002D49DD"/>
    <w:rsid w:val="002E291A"/>
    <w:rsid w:val="003603AE"/>
    <w:rsid w:val="00385D16"/>
    <w:rsid w:val="0039722E"/>
    <w:rsid w:val="003C0762"/>
    <w:rsid w:val="0041712F"/>
    <w:rsid w:val="004A07F2"/>
    <w:rsid w:val="00510D8F"/>
    <w:rsid w:val="00613C49"/>
    <w:rsid w:val="0063546A"/>
    <w:rsid w:val="00635CFF"/>
    <w:rsid w:val="00700F63"/>
    <w:rsid w:val="00711DFE"/>
    <w:rsid w:val="00724748"/>
    <w:rsid w:val="00724E56"/>
    <w:rsid w:val="00760197"/>
    <w:rsid w:val="00855050"/>
    <w:rsid w:val="00970408"/>
    <w:rsid w:val="009D31FA"/>
    <w:rsid w:val="009D4199"/>
    <w:rsid w:val="009E0300"/>
    <w:rsid w:val="00A35966"/>
    <w:rsid w:val="00A901C4"/>
    <w:rsid w:val="00B722DC"/>
    <w:rsid w:val="00BC29A9"/>
    <w:rsid w:val="00BC55AA"/>
    <w:rsid w:val="00BE5AF6"/>
    <w:rsid w:val="00C63005"/>
    <w:rsid w:val="00CB450C"/>
    <w:rsid w:val="00CD1A33"/>
    <w:rsid w:val="00CE1118"/>
    <w:rsid w:val="00D16784"/>
    <w:rsid w:val="00D42C5A"/>
    <w:rsid w:val="00D7461E"/>
    <w:rsid w:val="00D779A3"/>
    <w:rsid w:val="00E07A72"/>
    <w:rsid w:val="00E61287"/>
    <w:rsid w:val="00E912FE"/>
    <w:rsid w:val="00EC0832"/>
    <w:rsid w:val="00F1069D"/>
    <w:rsid w:val="00F47BCD"/>
    <w:rsid w:val="00F85488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076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A5D4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lt-LT" w:eastAsia="ru-RU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A5D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A5D48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val="lt-LT" w:eastAsia="ru-RU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A5D48"/>
    <w:rPr>
      <w:rFonts w:ascii="Calibri" w:eastAsia="Calibri" w:hAnsi="Calibri" w:cs="Calibri"/>
      <w:color w:val="000000"/>
      <w:sz w:val="20"/>
      <w:szCs w:val="20"/>
      <w:lang w:val="lt-LT" w:eastAsia="ru-RU"/>
    </w:rPr>
  </w:style>
  <w:style w:type="character" w:styleId="Hipersaitas">
    <w:name w:val="Hyperlink"/>
    <w:basedOn w:val="Numatytasispastraiposriftas"/>
    <w:uiPriority w:val="99"/>
    <w:unhideWhenUsed/>
    <w:rsid w:val="00F1069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1069D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4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color w:val="auto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4E56"/>
    <w:rPr>
      <w:rFonts w:ascii="Calibri" w:eastAsia="Calibri" w:hAnsi="Calibri" w:cs="Calibri"/>
      <w:b/>
      <w:bCs/>
      <w:color w:val="000000"/>
      <w:sz w:val="20"/>
      <w:szCs w:val="20"/>
      <w:lang w:val="lt-LT" w:eastAsia="ru-R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4E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1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sci.com/fun3_en/dna/dna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befr.com/extraire-l-adn-a-partir-de-frais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3681</Words>
  <Characters>2099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Tamosiunas</dc:creator>
  <cp:keywords/>
  <dc:description/>
  <cp:lastModifiedBy>Dalia</cp:lastModifiedBy>
  <cp:revision>13</cp:revision>
  <dcterms:created xsi:type="dcterms:W3CDTF">2019-01-07T15:36:00Z</dcterms:created>
  <dcterms:modified xsi:type="dcterms:W3CDTF">2019-01-11T05:58:00Z</dcterms:modified>
</cp:coreProperties>
</file>